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240"/>
      </w:pPr>
      <w:r>
        <w:rPr>
          <w:rFonts w:ascii="Calibri" w:cs="Calibri" w:eastAsia="Calibri" w:hAnsi="Calibri"/>
          <w:b/>
          <w:bCs/>
          <w:color w:val="1F2F4D"/>
          <w:sz w:val="36"/>
          <w:szCs w:val="36"/>
        </w:rPr>
        <w:t xml:space="preserve">Spørgeskema og evidens</w:t>
      </w:r>
    </w:p>
    <w:p>
      <w:pPr>
        <w:spacing w:after="120"/>
      </w:pPr>
      <w:r>
        <w:rPr>
          <w:rFonts w:ascii="Calibri" w:cs="Calibri" w:eastAsia="Calibri" w:hAnsi="Calibri"/>
          <w:color w:val="56524A"/>
          <w:sz w:val="21"/>
          <w:szCs w:val="21"/>
        </w:rPr>
        <w:t xml:space="preserve">Til forældre, der vil lave en skærmpolitik for deres klasse. Del 1 er de spørgsmål, vi stillede klassen i september 2025 og igen i juni 2026. Del 2 er kilderne, kort forklaret. Spørgsmålene er gengivet efter vores skema. Ret ordlyden til jeres klasse.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Tip: Bed ikke om svar på, hvad "man" bør gøre. Spørg, hvad I selv vil forpligte jer til. Det er dét, der afgør, om reglerne bliver fulgt.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1F2F4D"/>
          <w:sz w:val="26"/>
          <w:szCs w:val="26"/>
        </w:rPr>
        <w:t xml:space="preserve">Del 1: Spørgeskemaet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1. Hvor enig er du i disse udsagn?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Vi skal vente så længe som muligt med at give vores børn en smartphone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Vi skal udskyde vores børns debut på sociale medier så længe som muligt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Det er nemt at indstille skærmtidsbegrænsning på telefoner og tablets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Svarmuligheder for hvert udsagn: Helt enig / Enig / Hverken enig eller uenig / Uenig / Helt uenig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2. Myndigheder og eksperter anbefaler at udskyde børns smartphonedebut til barnet er 13 år. Vil du følge denne anbefaling?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Ja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Nej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Ved ikke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Andet: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3. Har dit barn en smartphone?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Ja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Nej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Nej, men vi forventer det i løbet af skoleåret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4-9. Må dit barn bruge disse apps? (ét spørgsmål pr. app)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Instagram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Snapchat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TikTok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WhatsApp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Facebook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Messenger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Svarmuligheder: Ja / Nej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10. Skriver dit barn i tekstchats med klassekammerater?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Nej / Sjældent / En gang imellem / Ofte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11. Bruger dit barn videochat med klassekammerater?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Nej / Sjældent / En gang imellem / Ofte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12. Har I faste tidspunkter derhjemme uden skærme (fx ved måltider og før sengetid)?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Ja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Nej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13. Hvad kan du forpligte dig til? Skriv frit.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1F2F4D"/>
          <w:sz w:val="26"/>
          <w:szCs w:val="26"/>
        </w:rPr>
        <w:t xml:space="preserve">Del 2: Evidensen, kort</w:t>
      </w:r>
    </w:p>
    <w:tbl>
      <w:tblPr>
        <w:tblW w:type="dxa" w:w="9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400"/>
        <w:gridCol w:w="3100"/>
      </w:tblGrid>
      <w:tr>
        <w:trPr>
          <w:tblHeader/>
        </w:trPr>
        <w:tc>
          <w:tcPr>
            <w:tcW w:type="dxa" w:w="2600"/>
            <w:tcBorders>
              <w:top w:val="single" w:color="D9D4C8" w:sz="4"/>
              <w:left w:val="single" w:color="D9D4C8" w:sz="4"/>
              <w:bottom w:val="single" w:color="D9D4C8" w:sz="4"/>
              <w:right w:val="single" w:color="D9D4C8" w:sz="4"/>
            </w:tcBorders>
            <w:shd w:fill="EFEBE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Kilde</w:t>
            </w:r>
          </w:p>
        </w:tc>
        <w:tc>
          <w:tcPr>
            <w:tcW w:type="dxa" w:w="3400"/>
            <w:tcBorders>
              <w:top w:val="single" w:color="D9D4C8" w:sz="4"/>
              <w:left w:val="single" w:color="D9D4C8" w:sz="4"/>
              <w:bottom w:val="single" w:color="D9D4C8" w:sz="4"/>
              <w:right w:val="single" w:color="D9D4C8" w:sz="4"/>
            </w:tcBorders>
            <w:shd w:fill="EFEBE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Hvad den siger</w:t>
            </w:r>
          </w:p>
        </w:tc>
        <w:tc>
          <w:tcPr>
            <w:tcW w:type="dxa" w:w="3100"/>
            <w:tcBorders>
              <w:top w:val="single" w:color="D9D4C8" w:sz="4"/>
              <w:left w:val="single" w:color="D9D4C8" w:sz="4"/>
              <w:bottom w:val="single" w:color="D9D4C8" w:sz="4"/>
              <w:right w:val="single" w:color="D9D4C8" w:sz="4"/>
            </w:tcBorders>
            <w:shd w:fill="EFEBE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Hvad den ikke siger</w:t>
            </w:r>
          </w:p>
        </w:tc>
      </w:tr>
      <w:tr>
        <w:tc>
          <w:tcPr>
            <w:tcW w:type="dxa" w:w="2600"/>
            <w:tcBorders>
              <w:top w:val="single" w:color="D9D4C8" w:sz="4"/>
              <w:left w:val="single" w:color="D9D4C8" w:sz="4"/>
              <w:bottom w:val="single" w:color="D9D4C8" w:sz="4"/>
              <w:right w:val="single" w:color="D9D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Trivselskommissionen, februar 2025</w:t>
            </w:r>
          </w:p>
        </w:tc>
        <w:tc>
          <w:tcPr>
            <w:tcW w:type="dxa" w:w="3400"/>
            <w:tcBorders>
              <w:top w:val="single" w:color="D9D4C8" w:sz="4"/>
              <w:left w:val="single" w:color="D9D4C8" w:sz="4"/>
              <w:bottom w:val="single" w:color="D9D4C8" w:sz="4"/>
              <w:right w:val="single" w:color="D9D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Anbefaler at udskyde børns smartphonedebut til 13 år og at gøre skolerne mobilfri.</w:t>
            </w:r>
          </w:p>
        </w:tc>
        <w:tc>
          <w:tcPr>
            <w:tcW w:type="dxa" w:w="3100"/>
            <w:tcBorders>
              <w:top w:val="single" w:color="D9D4C8" w:sz="4"/>
              <w:left w:val="single" w:color="D9D4C8" w:sz="4"/>
              <w:bottom w:val="single" w:color="D9D4C8" w:sz="4"/>
              <w:right w:val="single" w:color="D9D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Det er en anbefaling til forældre og skoler, ikke en regel.</w:t>
            </w:r>
          </w:p>
        </w:tc>
      </w:tr>
      <w:tr>
        <w:tc>
          <w:tcPr>
            <w:tcW w:type="dxa" w:w="2600"/>
            <w:tcBorders>
              <w:top w:val="single" w:color="D9D4C8" w:sz="4"/>
              <w:left w:val="single" w:color="D9D4C8" w:sz="4"/>
              <w:bottom w:val="single" w:color="D9D4C8" w:sz="4"/>
              <w:right w:val="single" w:color="D9D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Alliancen for et trygt og godt digitalt børne- og ungeliv (Digitaliseringsministeriet, Børns Vilkår, Red Barnet, DUF og KL): Fem tommelfingerregler, juli 2025</w:t>
            </w:r>
          </w:p>
        </w:tc>
        <w:tc>
          <w:tcPr>
            <w:tcW w:type="dxa" w:w="3400"/>
            <w:tcBorders>
              <w:top w:val="single" w:color="D9D4C8" w:sz="4"/>
              <w:left w:val="single" w:color="D9D4C8" w:sz="4"/>
              <w:bottom w:val="single" w:color="D9D4C8" w:sz="4"/>
              <w:right w:val="single" w:color="D9D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Udskyd så vidt muligt barnets første smartphone til 13 år. Indtil da en telefon til opkald og sms. Lav kollektive aftaler om at overholde aldersgrænser, og indstil barnets device alderssvarende.</w:t>
            </w:r>
          </w:p>
        </w:tc>
        <w:tc>
          <w:tcPr>
            <w:tcW w:type="dxa" w:w="3100"/>
            <w:tcBorders>
              <w:top w:val="single" w:color="D9D4C8" w:sz="4"/>
              <w:left w:val="single" w:color="D9D4C8" w:sz="4"/>
              <w:bottom w:val="single" w:color="D9D4C8" w:sz="4"/>
              <w:right w:val="single" w:color="D9D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Det er en vejledning. "Så vidt muligt" giver plads til den enkelte familie.</w:t>
            </w:r>
          </w:p>
        </w:tc>
      </w:tr>
      <w:tr>
        <w:tc>
          <w:tcPr>
            <w:tcW w:type="dxa" w:w="2600"/>
            <w:tcBorders>
              <w:top w:val="single" w:color="D9D4C8" w:sz="4"/>
              <w:left w:val="single" w:color="D9D4C8" w:sz="4"/>
              <w:bottom w:val="single" w:color="D9D4C8" w:sz="4"/>
              <w:right w:val="single" w:color="D9D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Thiagarajan m.fl. (Sapien Labs): Protecting the Developing Mind in a Digital Age, Journal of Human Development and Capabilities, 2025</w:t>
            </w:r>
          </w:p>
        </w:tc>
        <w:tc>
          <w:tcPr>
            <w:tcW w:type="dxa" w:w="3400"/>
            <w:tcBorders>
              <w:top w:val="single" w:color="D9D4C8" w:sz="4"/>
              <w:left w:val="single" w:color="D9D4C8" w:sz="4"/>
              <w:bottom w:val="single" w:color="D9D4C8" w:sz="4"/>
              <w:right w:val="single" w:color="D9D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Over 100.000 unge voksne. Første smartphone før 13 hænger sammen med dårligere mental sundhed som 18-24-årig. Tidlig adgang til sociale medier forklarer omkring 40 % af sammenhængen.</w:t>
            </w:r>
          </w:p>
        </w:tc>
        <w:tc>
          <w:tcPr>
            <w:tcW w:type="dxa" w:w="3100"/>
            <w:tcBorders>
              <w:top w:val="single" w:color="D9D4C8" w:sz="4"/>
              <w:left w:val="single" w:color="D9D4C8" w:sz="4"/>
              <w:bottom w:val="single" w:color="D9D4C8" w:sz="4"/>
              <w:right w:val="single" w:color="D9D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Den viser en sammenhæng, ikke at telefonen i sig selv er årsagen.</w:t>
            </w:r>
          </w:p>
        </w:tc>
      </w:tr>
      <w:tr>
        <w:tc>
          <w:tcPr>
            <w:tcW w:type="dxa" w:w="2600"/>
            <w:tcBorders>
              <w:top w:val="single" w:color="D9D4C8" w:sz="4"/>
              <w:left w:val="single" w:color="D9D4C8" w:sz="4"/>
              <w:bottom w:val="single" w:color="D9D4C8" w:sz="4"/>
              <w:right w:val="single" w:color="D9D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Politisk aftale om digital beskyttelse af børn, november 2025</w:t>
            </w:r>
          </w:p>
        </w:tc>
        <w:tc>
          <w:tcPr>
            <w:tcW w:type="dxa" w:w="3400"/>
            <w:tcBorders>
              <w:top w:val="single" w:color="D9D4C8" w:sz="4"/>
              <w:left w:val="single" w:color="D9D4C8" w:sz="4"/>
              <w:bottom w:val="single" w:color="D9D4C8" w:sz="4"/>
              <w:right w:val="single" w:color="D9D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National aldersgrænse på 15 år for sociale medier, fra 13 år med forældrenes samtykke. Forventes at gælde fra 1. juli 2027.</w:t>
            </w:r>
          </w:p>
        </w:tc>
        <w:tc>
          <w:tcPr>
            <w:tcW w:type="dxa" w:w="3100"/>
            <w:tcBorders>
              <w:top w:val="single" w:color="D9D4C8" w:sz="4"/>
              <w:left w:val="single" w:color="D9D4C8" w:sz="4"/>
              <w:bottom w:val="single" w:color="D9D4C8" w:sz="4"/>
              <w:right w:val="single" w:color="D9D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Den sætter ingen aldersgrænse for smartphones.</w:t>
            </w:r>
          </w:p>
        </w:tc>
      </w:tr>
      <w:tr>
        <w:tc>
          <w:tcPr>
            <w:tcW w:type="dxa" w:w="2600"/>
            <w:tcBorders>
              <w:top w:val="single" w:color="D9D4C8" w:sz="4"/>
              <w:left w:val="single" w:color="D9D4C8" w:sz="4"/>
              <w:bottom w:val="single" w:color="D9D4C8" w:sz="4"/>
              <w:right w:val="single" w:color="D9D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Sundhedsstyrelsen: anbefalinger om skærmbrug, 2024 (opdateret 2025)</w:t>
            </w:r>
          </w:p>
        </w:tc>
        <w:tc>
          <w:tcPr>
            <w:tcW w:type="dxa" w:w="3400"/>
            <w:tcBorders>
              <w:top w:val="single" w:color="D9D4C8" w:sz="4"/>
              <w:left w:val="single" w:color="D9D4C8" w:sz="4"/>
              <w:bottom w:val="single" w:color="D9D4C8" w:sz="4"/>
              <w:right w:val="single" w:color="D9D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Ingen skærm før sengetid, ingen skærme i soveværelset, balance med fysisk aktivitet og samvær.</w:t>
            </w:r>
          </w:p>
        </w:tc>
        <w:tc>
          <w:tcPr>
            <w:tcW w:type="dxa" w:w="3100"/>
            <w:tcBorders>
              <w:top w:val="single" w:color="D9D4C8" w:sz="4"/>
              <w:left w:val="single" w:color="D9D4C8" w:sz="4"/>
              <w:bottom w:val="single" w:color="D9D4C8" w:sz="4"/>
              <w:right w:val="single" w:color="D9D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Ingen alder for første smartphone eller for sociale medier.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Trivselskommissionen: </w:t>
      </w:r>
      <w:hyperlink w:history="1" r:id="rIdbh-7eswnljwrxxohgchgp">
        <w:r>
          <w:rPr>
            <w:rFonts w:ascii="Calibri" w:cs="Calibri" w:eastAsia="Calibri" w:hAnsi="Calibri"/>
            <w:color w:val="1F2F4D"/>
            <w:sz w:val="19"/>
            <w:szCs w:val="19"/>
            <w:u w:val="single"/>
          </w:rPr>
          <w:t xml:space="preserve">https://www.uvm.dk/aktuelt/nyheder/uvm/2025/feb/250225-trivselskommissionens-anbefalinger-er-klar</w:t>
        </w:r>
      </w:hyperlink>
    </w:p>
    <w:p>
      <w:pPr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Fem tommelfingerregler: </w:t>
      </w:r>
      <w:hyperlink w:history="1" r:id="rIdp4lbt8cvk_uynlziwp2wt">
        <w:r>
          <w:rPr>
            <w:rFonts w:ascii="Calibri" w:cs="Calibri" w:eastAsia="Calibri" w:hAnsi="Calibri"/>
            <w:color w:val="1F2F4D"/>
            <w:sz w:val="19"/>
            <w:szCs w:val="19"/>
            <w:u w:val="single"/>
          </w:rPr>
          <w:t xml:space="preserve">https://www.digmin.dk/Media/638866133367728341/9795_DIGMIN_Vejledning_TILG.pdf</w:t>
        </w:r>
      </w:hyperlink>
    </w:p>
    <w:p>
      <w:pPr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Politisk aftale, november 2025: </w:t>
      </w:r>
      <w:hyperlink w:history="1" r:id="rId-s5sskrhzdex7oi_kxng7">
        <w:r>
          <w:rPr>
            <w:rFonts w:ascii="Calibri" w:cs="Calibri" w:eastAsia="Calibri" w:hAnsi="Calibri"/>
            <w:color w:val="1F2F4D"/>
            <w:sz w:val="19"/>
            <w:szCs w:val="19"/>
            <w:u w:val="single"/>
          </w:rPr>
          <w:t xml:space="preserve">https://www.digmin.dk/digitalisering/nyheder/nyhedsarkiv/2025/nov/ny-politisk-aftale</w:t>
        </w:r>
      </w:hyperlink>
    </w:p>
    <w:p>
      <w:pPr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Sundhedsstyrelsen om skærmbrug: </w:t>
      </w:r>
      <w:hyperlink w:history="1" r:id="rIdahabicpqqvklewd6pahmf">
        <w:r>
          <w:rPr>
            <w:rFonts w:ascii="Calibri" w:cs="Calibri" w:eastAsia="Calibri" w:hAnsi="Calibri"/>
            <w:color w:val="1F2F4D"/>
            <w:sz w:val="19"/>
            <w:szCs w:val="19"/>
            <w:u w:val="single"/>
          </w:rPr>
          <w:t xml:space="preserve">https://www.sst.dk/vidensbase/forebyggelse/anbefalinger-om-brug-af-skaerm</w:t>
        </w:r>
      </w:hyperlink>
    </w:p>
    <w:p>
      <w:pPr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Thiagarajan m.fl. 2025: </w:t>
      </w:r>
      <w:hyperlink w:history="1" r:id="rId4cagvro4tzuv6-3dyxf_t">
        <w:r>
          <w:rPr>
            <w:rFonts w:ascii="Calibri" w:cs="Calibri" w:eastAsia="Calibri" w:hAnsi="Calibri"/>
            <w:color w:val="1F2F4D"/>
            <w:sz w:val="19"/>
            <w:szCs w:val="19"/>
            <w:u w:val="single"/>
          </w:rPr>
          <w:t xml:space="preserve">https://www.tandfonline.com/doi/full/10.1080/19452829.2025.2518313</w:t>
        </w:r>
      </w:hyperlink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color w:val="56524A"/>
          <w:sz w:val="18"/>
          <w:szCs w:val="18"/>
        </w:rPr>
        <w:t xml:space="preserve">Fra sorenostergaard.com/notater/klassens-mobilpolitik/</w:t>
      </w:r>
    </w:p>
    <w:sectPr>
      <w:pgSz w:w="11906" w:h="16838" w:orient="portrait"/>
      <w:pgMar w:top="11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□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-7eswnljwrxxohgchgp" Type="http://schemas.openxmlformats.org/officeDocument/2006/relationships/hyperlink" Target="https://www.uvm.dk/aktuelt/nyheder/uvm/2025/feb/250225-trivselskommissionens-anbefalinger-er-klar" TargetMode="External"/><Relationship Id="rIdp4lbt8cvk_uynlziwp2wt" Type="http://schemas.openxmlformats.org/officeDocument/2006/relationships/hyperlink" Target="https://www.digmin.dk/Media/638866133367728341/9795_DIGMIN_Vejledning_TILG.pdf" TargetMode="External"/><Relationship Id="rId-s5sskrhzdex7oi_kxng7" Type="http://schemas.openxmlformats.org/officeDocument/2006/relationships/hyperlink" Target="https://www.digmin.dk/digitalisering/nyheder/nyhedsarkiv/2025/nov/ny-politisk-aftale" TargetMode="External"/><Relationship Id="rIdahabicpqqvklewd6pahmf" Type="http://schemas.openxmlformats.org/officeDocument/2006/relationships/hyperlink" Target="https://www.sst.dk/vidensbase/forebyggelse/anbefalinger-om-brug-af-skaerm" TargetMode="External"/><Relationship Id="rId4cagvro4tzuv6-3dyxf_t" Type="http://schemas.openxmlformats.org/officeDocument/2006/relationships/hyperlink" Target="https://www.tandfonline.com/doi/full/10.1080/19452829.2025.2518313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2026-09-29T13:59:16.991Z</dcterms:created>
  <dcterms:modified xsi:type="dcterms:W3CDTF">2026-09-29T13:59:16.991Z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