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240"/>
      </w:pPr>
      <w:r>
        <w:rPr>
          <w:rFonts w:ascii="Calibri" w:cs="Calibri" w:eastAsia="Calibri" w:hAnsi="Calibri"/>
          <w:b/>
          <w:bCs/>
          <w:color w:val="1F2F4D"/>
          <w:sz w:val="36"/>
          <w:szCs w:val="36"/>
        </w:rPr>
        <w:t xml:space="preserve">Skærmpolitik for brug af mobil, tablet, smartwatch m.m. i [klassen]</w:t>
      </w:r>
    </w:p>
    <w:p>
      <w:pPr>
        <w:spacing w:after="120"/>
      </w:pPr>
      <w:r>
        <w:rPr>
          <w:rFonts w:ascii="Calibri" w:cs="Calibri" w:eastAsia="Calibri" w:hAnsi="Calibri"/>
          <w:i/>
          <w:iCs/>
          <w:color w:val="56524A"/>
          <w:sz w:val="21"/>
          <w:szCs w:val="21"/>
        </w:rPr>
        <w:t xml:space="preserve">Vores version fra oktober 2025, 3. klasse. Vedtaget på et forældremøde efter et spørgeskema til klassens 21 familier.</w:t>
      </w:r>
    </w:p>
    <w:p>
      <w:pPr>
        <w:spacing w:after="120"/>
      </w:pPr>
      <w:r>
        <w:rPr>
          <w:rFonts w:ascii="Calibri" w:cs="Calibri" w:eastAsia="Calibri" w:hAnsi="Calibri"/>
          <w:sz w:val="21"/>
          <w:szCs w:val="21"/>
        </w:rPr>
        <w:t xml:space="preserve">Delt af de fire forældre, der lavede den. Brug den som skabelon: ret [klassen] og reglerne til, så de passer til jeres klasse. Behold kolonnerne "Hvorfor" og "Forskning". De gør det nemmere at blive enige og at ændre reglerne, når der kommer ny viden.</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700"/>
        <w:gridCol w:w="4500"/>
        <w:gridCol w:w="4200"/>
        <w:gridCol w:w="5000"/>
      </w:tblGrid>
      <w:tr>
        <w:trPr>
          <w:tblHeader/>
        </w:trPr>
        <w:tc>
          <w:tcPr>
            <w:tcW w:type="dxa" w:w="700"/>
            <w:tcBorders>
              <w:top w:val="single" w:color="D9D4C8" w:sz="4"/>
              <w:left w:val="single" w:color="D9D4C8" w:sz="4"/>
              <w:bottom w:val="single" w:color="D9D4C8" w:sz="4"/>
              <w:right w:val="single" w:color="D9D4C8" w:sz="4"/>
            </w:tcBorders>
            <w:shd w:fill="EFEBE3" w:color="auto" w:val="clear"/>
            <w:tcMar>
              <w:top w:type="dxa" w:w="80"/>
              <w:left w:type="dxa" w:w="100"/>
              <w:bottom w:type="dxa" w:w="80"/>
              <w:right w:type="dxa" w:w="100"/>
            </w:tcMar>
          </w:tcPr>
          <w:p>
            <w:r>
              <w:rPr>
                <w:rFonts w:ascii="Calibri" w:cs="Calibri" w:eastAsia="Calibri" w:hAnsi="Calibri"/>
                <w:b/>
                <w:bCs/>
                <w:sz w:val="19"/>
                <w:szCs w:val="19"/>
              </w:rPr>
              <w:t xml:space="preserve">#</w:t>
            </w:r>
          </w:p>
        </w:tc>
        <w:tc>
          <w:tcPr>
            <w:tcW w:type="dxa" w:w="4500"/>
            <w:tcBorders>
              <w:top w:val="single" w:color="D9D4C8" w:sz="4"/>
              <w:left w:val="single" w:color="D9D4C8" w:sz="4"/>
              <w:bottom w:val="single" w:color="D9D4C8" w:sz="4"/>
              <w:right w:val="single" w:color="D9D4C8" w:sz="4"/>
            </w:tcBorders>
            <w:shd w:fill="EFEBE3" w:color="auto" w:val="clear"/>
            <w:tcMar>
              <w:top w:type="dxa" w:w="80"/>
              <w:left w:type="dxa" w:w="100"/>
              <w:bottom w:type="dxa" w:w="80"/>
              <w:right w:type="dxa" w:w="100"/>
            </w:tcMar>
          </w:tcPr>
          <w:p>
            <w:r>
              <w:rPr>
                <w:rFonts w:ascii="Calibri" w:cs="Calibri" w:eastAsia="Calibri" w:hAnsi="Calibri"/>
                <w:b/>
                <w:bCs/>
                <w:sz w:val="19"/>
                <w:szCs w:val="19"/>
              </w:rPr>
              <w:t xml:space="preserve">Regel</w:t>
            </w:r>
          </w:p>
        </w:tc>
        <w:tc>
          <w:tcPr>
            <w:tcW w:type="dxa" w:w="4200"/>
            <w:tcBorders>
              <w:top w:val="single" w:color="D9D4C8" w:sz="4"/>
              <w:left w:val="single" w:color="D9D4C8" w:sz="4"/>
              <w:bottom w:val="single" w:color="D9D4C8" w:sz="4"/>
              <w:right w:val="single" w:color="D9D4C8" w:sz="4"/>
            </w:tcBorders>
            <w:shd w:fill="EFEBE3" w:color="auto" w:val="clear"/>
            <w:tcMar>
              <w:top w:type="dxa" w:w="80"/>
              <w:left w:type="dxa" w:w="100"/>
              <w:bottom w:type="dxa" w:w="80"/>
              <w:right w:type="dxa" w:w="100"/>
            </w:tcMar>
          </w:tcPr>
          <w:p>
            <w:r>
              <w:rPr>
                <w:rFonts w:ascii="Calibri" w:cs="Calibri" w:eastAsia="Calibri" w:hAnsi="Calibri"/>
                <w:b/>
                <w:bCs/>
                <w:sz w:val="19"/>
                <w:szCs w:val="19"/>
              </w:rPr>
              <w:t xml:space="preserve">Hvorfor denne regel?</w:t>
            </w:r>
          </w:p>
        </w:tc>
        <w:tc>
          <w:tcPr>
            <w:tcW w:type="dxa" w:w="5000"/>
            <w:tcBorders>
              <w:top w:val="single" w:color="D9D4C8" w:sz="4"/>
              <w:left w:val="single" w:color="D9D4C8" w:sz="4"/>
              <w:bottom w:val="single" w:color="D9D4C8" w:sz="4"/>
              <w:right w:val="single" w:color="D9D4C8" w:sz="4"/>
            </w:tcBorders>
            <w:shd w:fill="EFEBE3" w:color="auto" w:val="clear"/>
            <w:tcMar>
              <w:top w:type="dxa" w:w="80"/>
              <w:left w:type="dxa" w:w="100"/>
              <w:bottom w:type="dxa" w:w="80"/>
              <w:right w:type="dxa" w:w="100"/>
            </w:tcMar>
          </w:tcPr>
          <w:p>
            <w:r>
              <w:rPr>
                <w:rFonts w:ascii="Calibri" w:cs="Calibri" w:eastAsia="Calibri" w:hAnsi="Calibri"/>
                <w:b/>
                <w:bCs/>
                <w:sz w:val="19"/>
                <w:szCs w:val="19"/>
              </w:rPr>
              <w:t xml:space="preserve">Forskning og begrundelse</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1</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Vi introducerer ikke smartphones, mobiltelefoner eller smartwatches i [klassen] i overensstemmelse med skolens mobilpolitik, som fraråder det for børn i indskolingen (tages op igen sidst i 3. klasse)</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beskytte børn mod tidlig eksponering for digitale risici og sikre, at behovet for telefon er reelt (fx for at kunne færdes sikkert rundt i kommunen).</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Forskning viser, at tidlig adgang til smartphones øger risikoen for digital mobning, afhængighed, søvnproblemer og mistrivsel. De fleste anbefalinger lyder på at udskyde smartphonedebut til 13 år. Udskydelse giver børn mulighed for at udvikle sociale og emotionelle færdigheder uden digital forstyrrelse.</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2</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Når et barn får en telefon eller smart device med i skole/fritidsordning, skal den være i tasken eller i det aflåste mobilskab (fra 4. klasse) i skoletiden</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Skolens mobilpolitik kræver det for at undgå distraktion og sikre fokus på undervisningen.</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Mobiler og tablets i skoletiden forstyrrer koncentration og læring. Mobilfri skoler anbefales af Trivselskommissionen for at styrke trivsel og læringsmiljø.</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3</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Ingen brug af devices om morgenen på skolen før skole og ingen kontakt efter kl. 19 på skoledage</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fremme god søvn og mindske digital stress.</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Skærmtid før skole og sent om aftenen forstyrrer søvnen og øger risikoen for mistrivsel.</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4</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Anbefaling om skærmtidsfunktioner og begrænsning af beskeder og apps på smart devices</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hjælpe forældre med at håndhæve reglerne og skabe sunde vaner. (I 2025 anbefalede vi appen Skærm Tiden. I 2026 anbefaler vi telefonens indbyggede Skærmtid med en forældrekode.)</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Skærmtidsfunktioner og forældrekontrol hjælper med at begrænse forbruget og støtter forældrenes involvering.</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5a</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Respekter aldersgrænser og undersøg indhold før adgang til spil</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beskytte børn mod upassende indhold og digitale risici.</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Aldersgrænser på spil er sat for at beskytte børn mod skadelig påvirkning, mobning og reklamer.</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5b</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Vi respekterer og følger aldersgrænser for sociale medier, og undersøger indhold, når børnene når aldersgrænsen</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beskytte børn mod upassende indhold og digitale risici.</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Aldersgrænsen for at oprette en profil på sociale medier er i dag 13 år, og der er en politisk diskussion om at hæve den.</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6a</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Ingen faste, tekstbaserede klassechats eller gruppechats (mere end 2 børn)</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undgå eksklusion, misforståelser og digital mobning.</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Gruppechats kan føre til misforståelser, eksklusion og mobning, og konflikter eskalerer let.</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6b</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Gruppechats og gruppevideochats skal have et formål og slettes, når formålet (typisk spillet) stopper</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Når børn spiller sammen digitalt, er det en del af oplevelsen at tale sammen imens.</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Tale og chat i spil fremmer samarbejde, så længe tonen er god, og kommunikationen handler om spillet.</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7</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Det man skriver, skal man kunne sige ansigt til ansigt (bedsteforældrereglen)</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fremme en god digital tone og ansvarlighed.</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Digital dannelse og empati styrkes, når børn lærer at tænke over deres kommunikation online.</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8</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Man må ikke blokere eller skrive lede ting, fordi man er uvenner</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forebygge digital mobning og styrke fællesskabet.</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Mobning og eksklusion online har alvorlige konsekvenser for børns trivsel.</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9</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Ingen deling af billeder uden tilladelse, heller ikke i lukkede grupper</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beskytte privatliv og forhindre krænkelser.</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Deling af billeder uden samtykke kan være ulovligt og kan føre til krænkelse og digital mobning.</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10</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Ingen mobiler ved legeaftaler og fælles arrangementer. Skærmbrug begrænses</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fremme fysisk og social leg og nærvær.</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Fysisk aktivitet og analog leg styrker sociale kompetencer og sundhed.</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11</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Forældre følger jævnligt med på barnets enheder (beskeder, billeder m.m.)</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opdage problemer tidligt og støtte barnet i digital dannelse.</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Forældres involvering mindsker risikoen for digital mobning, upassende indhold og afhængighed.</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12</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Forældre har en åben og løbende dialog om digital adfærd og er tydelige om hjemmets regler ved legeaftaler</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skabe tillid, så børn tør fortælle om det, de oplever online.</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Åben dialog mellem forældre og børn er afgørende for at forebygge og håndtere digitale udfordringer.</w:t>
            </w:r>
          </w:p>
        </w:tc>
      </w:tr>
      <w:tr>
        <w:tc>
          <w:tcPr>
            <w:tcW w:type="dxa" w:w="7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13</w:t>
            </w:r>
          </w:p>
        </w:tc>
        <w:tc>
          <w:tcPr>
            <w:tcW w:type="dxa" w:w="45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b/>
                <w:bCs/>
                <w:sz w:val="19"/>
                <w:szCs w:val="19"/>
              </w:rPr>
              <w:t xml:space="preserve">Forældre forklarer konsekvenserne af digital adfærd og støtter en god tone</w:t>
            </w:r>
          </w:p>
        </w:tc>
        <w:tc>
          <w:tcPr>
            <w:tcW w:type="dxa" w:w="42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For at børn forstår ansvar og konsekvenser.</w:t>
            </w:r>
          </w:p>
        </w:tc>
        <w:tc>
          <w:tcPr>
            <w:tcW w:type="dxa" w:w="5000"/>
            <w:tcBorders>
              <w:top w:val="single" w:color="D9D4C8" w:sz="4"/>
              <w:left w:val="single" w:color="D9D4C8" w:sz="4"/>
              <w:bottom w:val="single" w:color="D9D4C8" w:sz="4"/>
              <w:right w:val="single" w:color="D9D4C8" w:sz="4"/>
            </w:tcBorders>
            <w:tcMar>
              <w:top w:type="dxa" w:w="80"/>
              <w:left w:type="dxa" w:w="100"/>
              <w:bottom w:type="dxa" w:w="80"/>
              <w:right w:type="dxa" w:w="100"/>
            </w:tcMar>
          </w:tcPr>
          <w:p>
            <w:r>
              <w:rPr>
                <w:rFonts w:ascii="Calibri" w:cs="Calibri" w:eastAsia="Calibri" w:hAnsi="Calibri"/>
                <w:sz w:val="19"/>
                <w:szCs w:val="19"/>
              </w:rPr>
              <w:t xml:space="preserve">Børn, der forstår konsekvenserne af deres handlinger online, opfører sig mere ansvarligt.</w:t>
            </w:r>
          </w:p>
        </w:tc>
      </w:tr>
    </w:tbl>
    <w:p>
      <w:pPr>
        <w:spacing w:after="120"/>
      </w:pPr>
      <w:r>
        <w:rPr>
          <w:rFonts w:ascii="Calibri" w:cs="Calibri" w:eastAsia="Calibri" w:hAnsi="Calibri"/>
          <w:sz w:val="21"/>
          <w:szCs w:val="21"/>
        </w:rPr>
        <w:t xml:space="preserve"/>
      </w:r>
    </w:p>
    <w:p>
      <w:pPr>
        <w:spacing w:after="120"/>
      </w:pPr>
      <w:r>
        <w:rPr>
          <w:rFonts w:ascii="Calibri" w:cs="Calibri" w:eastAsia="Calibri" w:hAnsi="Calibri"/>
          <w:color w:val="56524A"/>
          <w:sz w:val="18"/>
          <w:szCs w:val="18"/>
        </w:rPr>
        <w:t xml:space="preserve">Mere om, hvordan politikken blev til: sorenostergaard.com/notater/klassens-mobilpolitik/</w:t>
      </w:r>
    </w:p>
    <w:sectPr>
      <w:pgSz w:w="16838" w:h="11906" w:orient="landscape"/>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2026-09-29T13:59:16.970Z</dcterms:created>
  <dcterms:modified xsi:type="dcterms:W3CDTF">2026-09-29T13:59:16.980Z</dcterms:modified>
</cp:coreProperties>
</file>

<file path=docProps/custom.xml><?xml version="1.0" encoding="utf-8"?>
<Properties xmlns="http://schemas.openxmlformats.org/officeDocument/2006/custom-properties" xmlns:vt="http://schemas.openxmlformats.org/officeDocument/2006/docPropsVTypes"/>
</file>